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djustRightInd w:val="0"/>
        <w:spacing w:before="0" w:beforeAutospacing="1" w:after="0" w:afterAutospacing="1" w:line="580" w:lineRule="exact"/>
        <w:ind w:left="0" w:right="0" w:firstLine="600"/>
        <w:jc w:val="center"/>
        <w:rPr>
          <w:rFonts w:hint="eastAsia" w:ascii="仿宋_GB2312" w:hAnsi="宋体" w:eastAsia="仿宋_GB2312" w:cs="仿宋_GB2312"/>
          <w:kern w:val="0"/>
          <w:sz w:val="32"/>
          <w:szCs w:val="32"/>
        </w:rPr>
      </w:pPr>
      <w:r>
        <w:rPr>
          <w:rFonts w:cs="Times New Roman"/>
          <w:b/>
          <w:kern w:val="2"/>
          <w:sz w:val="44"/>
          <w:szCs w:val="44"/>
        </w:rPr>
        <w:t>2020年中央</w:t>
      </w:r>
      <w:r>
        <w:rPr>
          <w:rFonts w:hint="eastAsia" w:cs="Times New Roman"/>
          <w:b/>
          <w:kern w:val="2"/>
          <w:sz w:val="44"/>
          <w:szCs w:val="44"/>
          <w:lang w:eastAsia="zh-CN"/>
        </w:rPr>
        <w:t>博物馆纪念馆逐步免费开放</w:t>
      </w:r>
      <w:r>
        <w:rPr>
          <w:rFonts w:cs="Times New Roman"/>
          <w:b/>
          <w:kern w:val="2"/>
          <w:sz w:val="44"/>
          <w:szCs w:val="44"/>
        </w:rPr>
        <w:t>补助项目评价报告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adjustRightInd w:val="0"/>
        <w:spacing w:before="0" w:beforeAutospacing="1" w:after="0" w:afterAutospacing="1" w:line="580" w:lineRule="exact"/>
        <w:ind w:left="0" w:right="0" w:firstLine="600"/>
        <w:jc w:val="both"/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2020年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中央博物馆纪念馆逐步免费开放项目自评综述：根据年初设定的绩效目标，项目自评得分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分。全年预算数为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执行数为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万元，完成预算的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100%。项目绩效目标完成情况：一是加强安全防范设施建设，营造舒适安全的参观环境，确保博物馆免费向公众开放；二是开展形式多样的社会教育活动，打造精品项目，提升青少年活动教育质量；三是加强文物藏品保护性研究，引进输出展览，满足人们日益增长的文化需求。发现的主要问题及原因：配合疫情防控需求，个别绩效指标完成值没有达到设定值。下一步改进措施;科学研判形势，进一步提高指标设置的科学性。</w:t>
      </w:r>
    </w:p>
    <w:p>
      <w:pPr>
        <w:pStyle w:val="4"/>
        <w:keepNext w:val="0"/>
        <w:keepLines w:val="0"/>
        <w:widowControl/>
        <w:suppressLineNumbers w:val="0"/>
        <w:spacing w:line="560" w:lineRule="exact"/>
        <w:ind w:left="0" w:leftChars="0" w:firstLine="640" w:firstLineChars="200"/>
        <w:jc w:val="both"/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tbl>
      <w:tblPr>
        <w:tblStyle w:val="5"/>
        <w:tblW w:w="8336" w:type="dxa"/>
        <w:tblInd w:w="74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603"/>
        <w:gridCol w:w="815"/>
        <w:gridCol w:w="1974"/>
        <w:gridCol w:w="485"/>
        <w:gridCol w:w="474"/>
        <w:gridCol w:w="1028"/>
        <w:gridCol w:w="745"/>
        <w:gridCol w:w="544"/>
        <w:gridCol w:w="722"/>
        <w:gridCol w:w="5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3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336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博物馆纪念馆逐步免费开放补助资金 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项目负责人及电话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李锐15044753555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9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鄂尔多斯市文化和旅游局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鄂尔多斯博物馆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55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资金情况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全年预算数（A）</w:t>
            </w: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全年执行数（B）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7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执行率（B/A)</w:t>
            </w:r>
          </w:p>
        </w:tc>
        <w:tc>
          <w:tcPr>
            <w:tcW w:w="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855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855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其中：本年财政拨款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00</w:t>
            </w: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855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5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1：年接待游客数量逐年增加。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2：对馆内公共设施进行全面维修检查，延长设备使用寿命，改善参观环境。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3：开展宣教文化活动，增强观众参与度，体验感</w:t>
            </w:r>
          </w:p>
        </w:tc>
        <w:tc>
          <w:tcPr>
            <w:tcW w:w="35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1:全年接待游客16.3万人次。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2：对馆内公共设施及进行维修及更换。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3：定期开展宣教文化活动。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8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全年实际值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(50分)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1、接待观众人数。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200" w:firstLineChars="10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20万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16.3万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2、排查全馆设施安全并进行维修改造排查数量。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全部设施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排查了公共区域设施。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3、定期开展文化宣教活动次数。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10次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1、维修改造工程合格率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1、按要求完成全年接待任务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2020年1月-12月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按计划已完成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2、按目标完公共区域设施检查，找出安全隐患。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2020年1月-12月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按计划已完成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1、设备设施维修费、宣教活动费等资金投入。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(30分)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1、丰富观众的文化生活。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符合国家相关部门要求。提升公共文化服务质量。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2、提供安全舒适的参观环境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符合国家相关部门要求。提升公共文化服务质量。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1、场馆设施得到维护，延长设施使用寿命。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延长使用设施寿命2年以上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2、提高观众的文化素质。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观众通过对博物馆的参观，了解我国的历史文化知识，提升观众的文化修养。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满意度指标(10分)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1、提高观众对博物馆参观的满意度。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满意度≥95%</w:t>
            </w:r>
          </w:p>
        </w:tc>
        <w:tc>
          <w:tcPr>
            <w:tcW w:w="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31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总分</w:t>
            </w:r>
          </w:p>
        </w:tc>
        <w:tc>
          <w:tcPr>
            <w:tcW w:w="4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100</w:t>
            </w:r>
          </w:p>
        </w:tc>
        <w:tc>
          <w:tcPr>
            <w:tcW w:w="1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95</w:t>
            </w:r>
          </w:p>
        </w:tc>
        <w:tc>
          <w:tcPr>
            <w:tcW w:w="12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1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unhideWhenUsed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0" w:beforeAutospacing="0" w:after="120" w:afterAutospacing="0"/>
      <w:ind w:left="420" w:leftChars="200" w:right="0" w:firstLine="420" w:firstLineChars="20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Body Text Indent"/>
    <w:basedOn w:val="1"/>
    <w:uiPriority w:val="99"/>
    <w:pPr>
      <w:spacing w:before="0" w:beforeAutospacing="0" w:after="120" w:afterAutospacing="0"/>
      <w:ind w:left="420" w:leftChars="20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Indent"/>
    <w:basedOn w:val="1"/>
    <w:uiPriority w:val="0"/>
    <w:pPr>
      <w:spacing w:before="0" w:beforeAutospacing="0" w:after="0" w:afterAutospacing="0"/>
      <w:ind w:left="72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2021-09-29T03:55:08Z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